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A3581">
      <w:pPr>
        <w:rPr>
          <w:rFonts w:hint="eastAsia"/>
          <w:highlight w:val="none"/>
          <w:lang w:val="en-US" w:eastAsia="zh-CN"/>
        </w:rPr>
      </w:pPr>
    </w:p>
    <w:p w14:paraId="61659ECD">
      <w:pPr>
        <w:pStyle w:val="2"/>
        <w:spacing w:before="0" w:beforeAutospacing="0" w:after="0" w:afterAutospacing="0"/>
        <w:rPr>
          <w:rFonts w:hint="eastAsia" w:ascii="方正仿宋简体" w:hAnsi="方正仿宋简体" w:eastAsia="方正仿宋简体" w:cs="方正仿宋简体"/>
          <w:b/>
          <w:bCs/>
          <w:color w:val="FF0000"/>
          <w:sz w:val="30"/>
          <w:szCs w:val="30"/>
          <w:highlight w:val="none"/>
          <w:lang w:eastAsia="zh-CN"/>
        </w:rPr>
      </w:pPr>
      <w:bookmarkStart w:id="0" w:name="_GoBack"/>
      <w:r>
        <w:rPr>
          <w:rFonts w:hint="eastAsia" w:ascii="方正仿宋简体" w:hAnsi="方正仿宋简体" w:eastAsia="方正仿宋简体" w:cs="方正仿宋简体"/>
          <w:b/>
          <w:bCs/>
          <w:sz w:val="30"/>
          <w:szCs w:val="30"/>
          <w:highlight w:val="none"/>
        </w:rPr>
        <w:t>附件</w:t>
      </w:r>
      <w:r>
        <w:rPr>
          <w:rFonts w:hint="eastAsia" w:ascii="方正仿宋简体" w:hAnsi="方正仿宋简体" w:eastAsia="方正仿宋简体" w:cs="方正仿宋简体"/>
          <w:b/>
          <w:bCs/>
          <w:sz w:val="30"/>
          <w:szCs w:val="30"/>
          <w:highlight w:val="none"/>
          <w:lang w:val="en-US" w:eastAsia="zh-CN"/>
        </w:rPr>
        <w:t>3</w:t>
      </w:r>
      <w:r>
        <w:rPr>
          <w:rFonts w:hint="eastAsia" w:ascii="方正仿宋简体" w:hAnsi="方正仿宋简体" w:eastAsia="方正仿宋简体" w:cs="方正仿宋简体"/>
          <w:b/>
          <w:bCs/>
          <w:sz w:val="30"/>
          <w:szCs w:val="30"/>
          <w:highlight w:val="none"/>
        </w:rPr>
        <w:t>：谈判响应资料目录顺序及装订要求：</w:t>
      </w:r>
      <w:bookmarkEnd w:id="0"/>
      <w:r>
        <w:rPr>
          <w:rFonts w:hint="eastAsia" w:ascii="方正仿宋简体" w:hAnsi="方正仿宋简体" w:eastAsia="方正仿宋简体" w:cs="方正仿宋简体"/>
          <w:b/>
          <w:bCs/>
          <w:sz w:val="30"/>
          <w:szCs w:val="30"/>
          <w:highlight w:val="none"/>
        </w:rPr>
        <w:t>编制目录、标注页码、字迹清晰、要素齐全。</w:t>
      </w:r>
    </w:p>
    <w:p w14:paraId="5E42FEFC">
      <w:pPr>
        <w:pStyle w:val="2"/>
        <w:numPr>
          <w:ilvl w:val="0"/>
          <w:numId w:val="0"/>
        </w:numPr>
        <w:spacing w:before="0" w:beforeAutospacing="0" w:after="0" w:afterAutospacing="0"/>
        <w:ind w:firstLine="240" w:firstLineChars="100"/>
        <w:rPr>
          <w:rFonts w:hint="eastAsia" w:eastAsia="仿宋"/>
          <w:b/>
          <w:bCs/>
          <w:highlight w:val="none"/>
          <w:shd w:val="clear" w:color="auto" w:fill="FFFFFF"/>
          <w:lang w:eastAsia="zh-CN"/>
        </w:rPr>
      </w:pPr>
      <w:r>
        <w:rPr>
          <w:rFonts w:hint="eastAsia" w:ascii="方正仿宋简体" w:hAnsi="方正仿宋简体" w:eastAsia="方正仿宋简体" w:cs="方正仿宋简体"/>
          <w:b/>
          <w:bCs/>
          <w:highlight w:val="none"/>
          <w:shd w:val="clear" w:color="auto" w:fill="FFFFFF"/>
          <w:lang w:eastAsia="zh-CN"/>
        </w:rPr>
        <w:t>一、</w:t>
      </w:r>
      <w:r>
        <w:rPr>
          <w:rFonts w:hint="eastAsia" w:ascii="仿宋" w:hAnsi="仿宋" w:eastAsia="仿宋" w:cs="仿宋"/>
          <w:b/>
          <w:bCs/>
          <w:sz w:val="28"/>
          <w:szCs w:val="28"/>
          <w:highlight w:val="none"/>
          <w:shd w:val="clear" w:color="auto" w:fill="FFFFFF"/>
        </w:rPr>
        <w:t>谈判</w:t>
      </w:r>
      <w:r>
        <w:rPr>
          <w:rFonts w:hint="eastAsia" w:ascii="仿宋" w:hAnsi="仿宋" w:eastAsia="仿宋" w:cs="仿宋"/>
          <w:b/>
          <w:bCs/>
          <w:sz w:val="30"/>
          <w:szCs w:val="30"/>
          <w:highlight w:val="none"/>
          <w:shd w:val="clear" w:color="auto" w:fill="FFFFFF"/>
        </w:rPr>
        <w:t>响应资料</w:t>
      </w:r>
      <w:r>
        <w:rPr>
          <w:rFonts w:hint="eastAsia" w:ascii="仿宋" w:hAnsi="仿宋" w:eastAsia="仿宋" w:cs="仿宋"/>
          <w:b/>
          <w:bCs/>
          <w:sz w:val="30"/>
          <w:szCs w:val="30"/>
          <w:highlight w:val="none"/>
        </w:rPr>
        <w:t>目录及顺序</w:t>
      </w:r>
      <w:r>
        <w:rPr>
          <w:rFonts w:hint="eastAsia" w:ascii="仿宋" w:hAnsi="仿宋" w:eastAsia="仿宋" w:cs="仿宋"/>
          <w:b/>
          <w:bCs/>
          <w:sz w:val="30"/>
          <w:szCs w:val="30"/>
          <w:highlight w:val="none"/>
          <w:lang w:eastAsia="zh-CN"/>
        </w:rPr>
        <w:t>：</w:t>
      </w:r>
    </w:p>
    <w:p w14:paraId="03065F16">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rPr>
        <w:t>销售人/经办人授权书（原件）及法定代表人、销售人/经办人身份证复印件</w:t>
      </w:r>
    </w:p>
    <w:p w14:paraId="68B8625D">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rPr>
        <w:t>《所提交材料真实性及法律责任承诺函》（原件）</w:t>
      </w:r>
    </w:p>
    <w:p w14:paraId="1AE1F5E0">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lang w:eastAsia="zh-CN"/>
        </w:rPr>
        <w:t>供应商</w:t>
      </w:r>
      <w:r>
        <w:rPr>
          <w:rFonts w:hint="eastAsia" w:ascii="仿宋" w:hAnsi="仿宋" w:eastAsia="仿宋" w:cs="仿宋"/>
          <w:sz w:val="28"/>
          <w:szCs w:val="28"/>
          <w:highlight w:val="none"/>
          <w:shd w:val="clear" w:color="auto" w:fill="FFFFFF"/>
        </w:rPr>
        <w:t>《营业执照》及相关许可证（复印件加盖公章）,应不少于:</w:t>
      </w:r>
    </w:p>
    <w:p w14:paraId="1B814143">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所投产品属于第一类医疗器械的供应商须提供有效的医疗器械备案凭证（复印件加盖供应商公章）；</w:t>
      </w:r>
    </w:p>
    <w:p w14:paraId="11D960FB">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所投产品属于第二类医疗器械的供应商须提供有效的医疗器械经营备案凭证或医疗器械经营许可证（经营范围须覆盖所属类别）、生产制造商《营业执照》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73F6FDFA">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rPr>
        <w:t>所投产品属于第三类医疗器械的供应商须提供有效的医疗器械经营许可证（经营范围须覆盖所属类别）、生产制造商《营业执照》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20015FBE">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供应商如果是所投产品医疗器械制造商的，无须提供医疗器械经营许可证或备案证</w:t>
      </w:r>
    </w:p>
    <w:p w14:paraId="34DAC6D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进口产品生产商授权书</w:t>
      </w:r>
    </w:p>
    <w:p w14:paraId="0CF7A29F">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不属于医疗器械的产品需提供国家食品药品监督管理总局产品分类明细/管理办法或其他证明材料。对于不属于医疗器械的，对</w:t>
      </w:r>
      <w:r>
        <w:rPr>
          <w:rFonts w:hint="eastAsia" w:ascii="仿宋" w:hAnsi="仿宋" w:eastAsia="仿宋" w:cs="仿宋"/>
          <w:sz w:val="28"/>
          <w:szCs w:val="28"/>
          <w:highlight w:val="none"/>
          <w:shd w:val="clear" w:color="auto" w:fill="FFFFFF"/>
          <w:lang w:val="en-US" w:eastAsia="zh-CN"/>
        </w:rPr>
        <w:t>1-4</w:t>
      </w:r>
      <w:r>
        <w:rPr>
          <w:rFonts w:hint="eastAsia" w:ascii="仿宋" w:hAnsi="仿宋" w:eastAsia="仿宋" w:cs="仿宋"/>
          <w:sz w:val="28"/>
          <w:szCs w:val="28"/>
          <w:highlight w:val="none"/>
          <w:shd w:val="clear" w:color="auto" w:fill="FFFFFF"/>
        </w:rPr>
        <w:t>项不作强制要求。</w:t>
      </w:r>
    </w:p>
    <w:p w14:paraId="0D3852D1">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（以上证照需在效期内）</w:t>
      </w:r>
    </w:p>
    <w:p w14:paraId="7E9E114E">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202</w:t>
      </w: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年至今任意一年经第三方审计的财务审计报告（含财务报表）或自报名截止时间前三月内由基本开户银行出具的资信证明（复印件）</w:t>
      </w:r>
      <w:r>
        <w:rPr>
          <w:rFonts w:hint="eastAsia" w:cs="微软雅黑"/>
          <w:b/>
          <w:bCs/>
          <w:snapToGrid w:val="0"/>
          <w:color w:val="FF0000"/>
          <w:kern w:val="0"/>
          <w:sz w:val="22"/>
          <w:szCs w:val="22"/>
        </w:rPr>
        <w:t>（注:根据“财政部关于注册会计师行业统一监管平台上线运行的通知（财办[2022]32号）”及“关于加强审计报告查验工作的通知（财会〔2023〕15号）”文件要求，2023年度及之后所出具的审计报告须具有验证码，否则不予认可。）</w:t>
      </w:r>
    </w:p>
    <w:p w14:paraId="0C3D6FBD">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《具有履行合同所必需的设备和专业技术能力的承诺函》（原件）</w:t>
      </w:r>
    </w:p>
    <w:p w14:paraId="75612557">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2025年0</w:t>
      </w:r>
      <w:r>
        <w:rPr>
          <w:rFonts w:hint="eastAsia" w:ascii="仿宋" w:hAnsi="仿宋" w:eastAsia="仿宋" w:cs="仿宋"/>
          <w:sz w:val="28"/>
          <w:szCs w:val="28"/>
          <w:highlight w:val="none"/>
          <w:shd w:val="clear" w:color="auto" w:fill="FFFFFF"/>
          <w:lang w:val="en-US" w:eastAsia="zh-CN"/>
        </w:rPr>
        <w:t>9</w:t>
      </w:r>
      <w:r>
        <w:rPr>
          <w:rFonts w:hint="eastAsia" w:ascii="仿宋" w:hAnsi="仿宋" w:eastAsia="仿宋" w:cs="仿宋"/>
          <w:sz w:val="28"/>
          <w:szCs w:val="28"/>
          <w:highlight w:val="none"/>
          <w:shd w:val="clear" w:color="auto" w:fill="FFFFFF"/>
        </w:rPr>
        <w:t>月至本项目提交响应文件截止时间前任意3个月依法缴纳税收和社会保障资金的缴纳记录（成立未满3个月的提供成立以来的税收和社会保障资金缴纳凭证或相关情况说明）</w:t>
      </w:r>
    </w:p>
    <w:p w14:paraId="0CA20731">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lang w:val="en-US" w:eastAsia="zh-CN"/>
        </w:rPr>
        <w:t>7.</w:t>
      </w:r>
      <w:r>
        <w:rPr>
          <w:rFonts w:hint="eastAsia" w:ascii="仿宋" w:hAnsi="仿宋" w:eastAsia="仿宋" w:cs="仿宋"/>
          <w:sz w:val="28"/>
          <w:szCs w:val="28"/>
          <w:shd w:val="clear" w:color="auto" w:fill="FFFFFF"/>
        </w:rPr>
        <w:t>在经营活动中没有重大违法记录的书面声明（原件）</w:t>
      </w:r>
    </w:p>
    <w:p w14:paraId="1E4DBF8B">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8.</w:t>
      </w:r>
      <w:r>
        <w:rPr>
          <w:rFonts w:hint="eastAsia" w:ascii="仿宋" w:hAnsi="仿宋" w:eastAsia="仿宋" w:cs="仿宋"/>
          <w:sz w:val="28"/>
          <w:szCs w:val="28"/>
          <w:highlight w:val="none"/>
          <w:shd w:val="clear" w:color="auto" w:fill="FFFFFF"/>
        </w:rPr>
        <w:t>单位负责人为同一人或者存在直接控股、管理关系的不同供应商，不得参加同一谈判项目下的采购活动的承诺函》（原件）</w:t>
      </w:r>
    </w:p>
    <w:p w14:paraId="5A862902">
      <w:pPr>
        <w:pStyle w:val="2"/>
        <w:numPr>
          <w:ilvl w:val="0"/>
          <w:numId w:val="0"/>
        </w:numPr>
        <w:adjustRightInd w:val="0"/>
        <w:snapToGrid w:val="0"/>
        <w:spacing w:beforeAutospacing="0" w:afterAutospacing="0" w:line="360" w:lineRule="auto"/>
        <w:ind w:right="0" w:rightChars="0" w:firstLine="280" w:firstLineChars="10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9.</w:t>
      </w:r>
      <w:r>
        <w:rPr>
          <w:rFonts w:hint="eastAsia" w:ascii="仿宋" w:hAnsi="仿宋" w:eastAsia="仿宋" w:cs="仿宋"/>
          <w:sz w:val="28"/>
          <w:szCs w:val="28"/>
          <w:highlight w:val="none"/>
          <w:shd w:val="clear" w:color="auto" w:fill="FFFFFF"/>
        </w:rPr>
        <w:t>《产品质量及售后服务承诺书》（原件）</w:t>
      </w:r>
    </w:p>
    <w:p w14:paraId="27D07803">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10.</w:t>
      </w:r>
      <w:r>
        <w:rPr>
          <w:rFonts w:hint="eastAsia" w:ascii="仿宋" w:hAnsi="仿宋" w:eastAsia="仿宋" w:cs="仿宋"/>
          <w:sz w:val="28"/>
          <w:szCs w:val="28"/>
          <w:highlight w:val="none"/>
          <w:shd w:val="clear" w:color="auto" w:fill="FFFFFF"/>
        </w:rPr>
        <w:t>产品技术资料，含产品彩页、产品说明书等（加盖厂家和供应商的公章）</w:t>
      </w:r>
    </w:p>
    <w:p w14:paraId="75B648D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11.</w:t>
      </w:r>
      <w:r>
        <w:rPr>
          <w:rFonts w:hint="eastAsia" w:ascii="仿宋" w:hAnsi="仿宋" w:eastAsia="仿宋" w:cs="仿宋"/>
          <w:sz w:val="28"/>
          <w:szCs w:val="28"/>
          <w:highlight w:val="none"/>
          <w:shd w:val="clear" w:color="auto" w:fill="FFFFFF"/>
        </w:rPr>
        <w:t>《企业银行开户名称信息》（复印件）</w:t>
      </w:r>
    </w:p>
    <w:p w14:paraId="36C85270">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12.</w:t>
      </w:r>
      <w:r>
        <w:rPr>
          <w:rFonts w:hint="eastAsia" w:ascii="仿宋" w:hAnsi="仿宋" w:eastAsia="仿宋" w:cs="仿宋"/>
          <w:sz w:val="28"/>
          <w:szCs w:val="28"/>
          <w:highlight w:val="none"/>
          <w:shd w:val="clear" w:color="auto" w:fill="FFFFFF"/>
        </w:rPr>
        <w:t>《公司业绩》提供近2年内同类产品在三级或更高医院成交证明，以中标通知、合同等为准，并加盖公司公章。</w:t>
      </w:r>
    </w:p>
    <w:p w14:paraId="38535FFA">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13.生产企业产品授权书。</w:t>
      </w:r>
    </w:p>
    <w:p w14:paraId="67C6CE6A">
      <w:pPr>
        <w:pStyle w:val="2"/>
        <w:numPr>
          <w:ilvl w:val="0"/>
          <w:numId w:val="0"/>
        </w:numPr>
        <w:adjustRightInd w:val="0"/>
        <w:snapToGrid w:val="0"/>
        <w:spacing w:beforeAutospacing="0" w:afterAutospacing="0" w:line="360" w:lineRule="auto"/>
        <w:ind w:left="283" w:leftChars="0" w:right="0" w:rightChars="0"/>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14.其他相关资料</w:t>
      </w:r>
    </w:p>
    <w:p w14:paraId="184E0A23">
      <w:pPr>
        <w:adjustRightInd w:val="0"/>
        <w:snapToGrid w:val="0"/>
        <w:spacing w:line="360" w:lineRule="auto"/>
        <w:ind w:firstLine="281" w:firstLineChars="1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highlight w:val="none"/>
          <w:lang w:eastAsia="zh-CN"/>
        </w:rPr>
        <w:t>二、</w:t>
      </w:r>
      <w:r>
        <w:rPr>
          <w:rFonts w:hint="eastAsia" w:ascii="仿宋" w:hAnsi="仿宋" w:eastAsia="仿宋" w:cs="仿宋"/>
          <w:b/>
          <w:bCs/>
          <w:sz w:val="28"/>
          <w:szCs w:val="28"/>
          <w:highlight w:val="none"/>
        </w:rPr>
        <w:t>装订要求：请严格按上述目录顺序制作响应文件</w:t>
      </w:r>
      <w:r>
        <w:rPr>
          <w:rFonts w:hint="eastAsia" w:ascii="仿宋" w:hAnsi="仿宋" w:eastAsia="仿宋" w:cs="仿宋"/>
          <w:sz w:val="28"/>
          <w:szCs w:val="28"/>
          <w:highlight w:val="none"/>
        </w:rPr>
        <w:t>，</w:t>
      </w:r>
      <w:r>
        <w:rPr>
          <w:rFonts w:hint="eastAsia" w:ascii="仿宋" w:hAnsi="仿宋" w:eastAsia="仿宋" w:cs="仿宋"/>
          <w:sz w:val="28"/>
          <w:szCs w:val="28"/>
          <w:highlight w:val="none"/>
          <w:shd w:val="clear" w:color="auto" w:fill="FFFFFF"/>
        </w:rPr>
        <w:t>装订成</w:t>
      </w:r>
      <w:r>
        <w:rPr>
          <w:rFonts w:hint="eastAsia" w:ascii="仿宋" w:hAnsi="仿宋" w:eastAsia="仿宋" w:cs="仿宋"/>
          <w:b/>
          <w:bCs/>
          <w:sz w:val="28"/>
          <w:szCs w:val="28"/>
          <w:highlight w:val="none"/>
          <w:shd w:val="clear" w:color="auto" w:fill="FFFFFF"/>
          <w:lang w:eastAsia="zh-CN"/>
        </w:rPr>
        <w:t>两</w:t>
      </w:r>
      <w:r>
        <w:rPr>
          <w:rFonts w:hint="eastAsia" w:ascii="仿宋" w:hAnsi="仿宋" w:eastAsia="仿宋" w:cs="仿宋"/>
          <w:b/>
          <w:bCs/>
          <w:color w:val="auto"/>
          <w:sz w:val="28"/>
          <w:szCs w:val="28"/>
          <w:highlight w:val="none"/>
          <w:shd w:val="clear" w:color="auto" w:fill="FFFFFF"/>
          <w:lang w:val="en-US" w:eastAsia="zh-CN"/>
        </w:rPr>
        <w:t>份</w:t>
      </w:r>
      <w:r>
        <w:rPr>
          <w:rFonts w:hint="eastAsia" w:ascii="仿宋" w:hAnsi="仿宋" w:eastAsia="仿宋" w:cs="仿宋"/>
          <w:b/>
          <w:bCs/>
          <w:color w:val="auto"/>
          <w:sz w:val="28"/>
          <w:szCs w:val="28"/>
          <w:highlight w:val="none"/>
          <w:shd w:val="clear" w:color="auto" w:fill="FFFFFF"/>
        </w:rPr>
        <w:t>（一份正本</w:t>
      </w:r>
      <w:r>
        <w:rPr>
          <w:rFonts w:hint="eastAsia" w:ascii="仿宋" w:hAnsi="仿宋" w:eastAsia="仿宋" w:cs="仿宋"/>
          <w:b/>
          <w:bCs/>
          <w:color w:val="auto"/>
          <w:sz w:val="28"/>
          <w:szCs w:val="28"/>
          <w:highlight w:val="none"/>
          <w:shd w:val="clear" w:color="auto" w:fill="FFFFFF"/>
          <w:lang w:eastAsia="zh-CN"/>
        </w:rPr>
        <w:t>，一份副本</w:t>
      </w:r>
      <w:r>
        <w:rPr>
          <w:rFonts w:hint="eastAsia" w:ascii="仿宋" w:hAnsi="仿宋" w:eastAsia="仿宋" w:cs="仿宋"/>
          <w:b/>
          <w:bCs/>
          <w:color w:val="auto"/>
          <w:sz w:val="28"/>
          <w:szCs w:val="28"/>
          <w:highlight w:val="none"/>
          <w:shd w:val="clear" w:color="auto" w:fill="FFFFFF"/>
        </w:rPr>
        <w:t>）</w:t>
      </w:r>
      <w:r>
        <w:rPr>
          <w:rFonts w:hint="eastAsia" w:ascii="仿宋" w:hAnsi="仿宋" w:eastAsia="仿宋" w:cs="仿宋"/>
          <w:sz w:val="28"/>
          <w:szCs w:val="28"/>
          <w:highlight w:val="none"/>
          <w:shd w:val="clear" w:color="auto" w:fill="FFFFFF"/>
        </w:rPr>
        <w:t>；</w:t>
      </w:r>
    </w:p>
    <w:p w14:paraId="3BAAED5F">
      <w:pPr>
        <w:adjustRightInd w:val="0"/>
        <w:snapToGrid w:val="0"/>
        <w:spacing w:line="360" w:lineRule="auto"/>
        <w:ind w:firstLine="562" w:firstLineChars="2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shd w:val="clear" w:color="auto" w:fill="FFFFFF"/>
          <w:lang w:eastAsia="zh-CN"/>
        </w:rPr>
        <w:t>三、</w:t>
      </w:r>
      <w:r>
        <w:rPr>
          <w:rFonts w:hint="eastAsia" w:ascii="仿宋" w:hAnsi="仿宋" w:eastAsia="仿宋" w:cs="仿宋"/>
          <w:b/>
          <w:bCs/>
          <w:sz w:val="28"/>
          <w:szCs w:val="28"/>
          <w:shd w:val="clear" w:color="auto" w:fill="FFFFFF"/>
        </w:rPr>
        <w:t>附件2.昆明市官渡区人民医院医用耗材（试剂）报价表（两份）请单独密封提交。</w:t>
      </w:r>
    </w:p>
    <w:p w14:paraId="4A6F8FC9">
      <w:pPr>
        <w:ind w:firstLine="562" w:firstLineChars="200"/>
        <w:rPr>
          <w:rFonts w:ascii="仿宋" w:hAnsi="仿宋" w:eastAsia="仿宋" w:cs="仿宋"/>
          <w:sz w:val="28"/>
          <w:szCs w:val="28"/>
          <w:highlight w:val="none"/>
          <w:shd w:val="clear" w:color="auto" w:fill="FFFFFF"/>
        </w:rPr>
      </w:pPr>
      <w:r>
        <w:rPr>
          <w:rFonts w:hint="eastAsia" w:ascii="仿宋" w:hAnsi="仿宋" w:eastAsia="仿宋" w:cs="仿宋"/>
          <w:b/>
          <w:bCs/>
          <w:sz w:val="28"/>
          <w:szCs w:val="28"/>
          <w:highlight w:val="none"/>
          <w:shd w:val="clear" w:color="auto" w:fill="FFFFFF"/>
          <w:lang w:val="en-US" w:eastAsia="zh-CN"/>
        </w:rPr>
        <w:t>四、</w:t>
      </w:r>
      <w:r>
        <w:rPr>
          <w:rFonts w:hint="eastAsia" w:ascii="仿宋" w:hAnsi="仿宋" w:eastAsia="仿宋" w:cs="仿宋"/>
          <w:b/>
          <w:bCs/>
          <w:sz w:val="28"/>
          <w:szCs w:val="28"/>
          <w:highlight w:val="none"/>
          <w:shd w:val="clear" w:color="auto" w:fill="FFFFFF"/>
        </w:rPr>
        <w:t>谈判响应电子版资料要求（</w:t>
      </w:r>
      <w:r>
        <w:rPr>
          <w:rFonts w:hint="eastAsia" w:ascii="仿宋" w:hAnsi="仿宋" w:eastAsia="仿宋" w:cs="仿宋"/>
          <w:b/>
          <w:bCs/>
          <w:sz w:val="28"/>
          <w:szCs w:val="28"/>
          <w:highlight w:val="none"/>
          <w:shd w:val="clear" w:color="auto" w:fill="FFFFFF"/>
          <w:lang w:eastAsia="zh-CN"/>
        </w:rPr>
        <w:t>响应资料</w:t>
      </w:r>
      <w:r>
        <w:rPr>
          <w:rFonts w:hint="eastAsia" w:ascii="仿宋" w:hAnsi="仿宋" w:eastAsia="仿宋" w:cs="仿宋"/>
          <w:b/>
          <w:bCs/>
          <w:sz w:val="28"/>
          <w:szCs w:val="28"/>
          <w:highlight w:val="none"/>
          <w:shd w:val="clear" w:color="auto" w:fill="FFFFFF"/>
          <w:lang w:val="en-US" w:eastAsia="zh-CN"/>
        </w:rPr>
        <w:t>word或PDF格式</w:t>
      </w:r>
      <w:r>
        <w:rPr>
          <w:rFonts w:hint="eastAsia" w:ascii="仿宋" w:hAnsi="仿宋" w:eastAsia="仿宋" w:cs="仿宋"/>
          <w:b/>
          <w:bCs/>
          <w:sz w:val="28"/>
          <w:szCs w:val="28"/>
          <w:highlight w:val="none"/>
          <w:shd w:val="clear" w:color="auto" w:fill="FFFFFF"/>
        </w:rPr>
        <w:t>）</w:t>
      </w:r>
    </w:p>
    <w:p w14:paraId="3839C440">
      <w:pPr>
        <w:rPr>
          <w:color w:val="000000" w:themeColor="text1"/>
          <w14:textFill>
            <w14:solidFill>
              <w14:schemeClr w14:val="tx1"/>
            </w14:solidFill>
          </w14:textFill>
        </w:rPr>
      </w:pP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7A"/>
    <w:family w:val="modern"/>
    <w:pitch w:val="default"/>
    <w:sig w:usb0="800002BF" w:usb1="38CF7CFA" w:usb2="00000016" w:usb3="00000000" w:csb0="00040001" w:csb1="00000000"/>
  </w:font>
  <w:font w:name="KSOF0410934D">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0651F8"/>
    <w:rsid w:val="02E232F2"/>
    <w:rsid w:val="030651F8"/>
    <w:rsid w:val="06614BA4"/>
    <w:rsid w:val="0810554C"/>
    <w:rsid w:val="09F50D65"/>
    <w:rsid w:val="0A6C463F"/>
    <w:rsid w:val="0F96797A"/>
    <w:rsid w:val="12AD0AA8"/>
    <w:rsid w:val="13DA191E"/>
    <w:rsid w:val="1A3923A8"/>
    <w:rsid w:val="2142189D"/>
    <w:rsid w:val="2BB5436A"/>
    <w:rsid w:val="2F3C7F95"/>
    <w:rsid w:val="339E2F39"/>
    <w:rsid w:val="346A600C"/>
    <w:rsid w:val="3714632C"/>
    <w:rsid w:val="3E481E73"/>
    <w:rsid w:val="3F7C1E6B"/>
    <w:rsid w:val="406513D1"/>
    <w:rsid w:val="503B1D58"/>
    <w:rsid w:val="52AA2CA4"/>
    <w:rsid w:val="58C074E9"/>
    <w:rsid w:val="5EFB30EB"/>
    <w:rsid w:val="60F4685B"/>
    <w:rsid w:val="62691B49"/>
    <w:rsid w:val="68212C69"/>
    <w:rsid w:val="68273FF7"/>
    <w:rsid w:val="734673F0"/>
    <w:rsid w:val="7C683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character" w:customStyle="1" w:styleId="8">
    <w:name w:val="font21"/>
    <w:basedOn w:val="5"/>
    <w:qFormat/>
    <w:uiPriority w:val="0"/>
    <w:rPr>
      <w:rFonts w:hint="eastAsia" w:ascii="宋体" w:hAnsi="宋体" w:eastAsia="宋体" w:cs="宋体"/>
      <w:color w:val="000000"/>
      <w:sz w:val="22"/>
      <w:szCs w:val="22"/>
      <w:u w:val="none"/>
    </w:rPr>
  </w:style>
  <w:style w:type="character" w:customStyle="1" w:styleId="9">
    <w:name w:val="font41"/>
    <w:basedOn w:val="5"/>
    <w:qFormat/>
    <w:uiPriority w:val="0"/>
    <w:rPr>
      <w:rFonts w:ascii="Arial" w:hAnsi="Arial" w:cs="Arial"/>
      <w:color w:val="000000"/>
      <w:sz w:val="22"/>
      <w:szCs w:val="22"/>
      <w:u w:val="none"/>
    </w:rPr>
  </w:style>
  <w:style w:type="character" w:customStyle="1" w:styleId="10">
    <w:name w:val="font11"/>
    <w:basedOn w:val="5"/>
    <w:qFormat/>
    <w:uiPriority w:val="0"/>
    <w:rPr>
      <w:rFonts w:hint="eastAsia" w:ascii="宋体" w:hAnsi="宋体" w:eastAsia="宋体" w:cs="宋体"/>
      <w:color w:val="000000"/>
      <w:sz w:val="22"/>
      <w:szCs w:val="22"/>
      <w:u w:val="none"/>
    </w:rPr>
  </w:style>
  <w:style w:type="character" w:customStyle="1" w:styleId="11">
    <w:name w:val="font31"/>
    <w:basedOn w:val="5"/>
    <w:qFormat/>
    <w:uiPriority w:val="0"/>
    <w:rPr>
      <w:rFonts w:ascii="Arial" w:hAnsi="Arial" w:cs="Arial"/>
      <w:color w:val="000000"/>
      <w:sz w:val="22"/>
      <w:szCs w:val="22"/>
      <w:u w:val="none"/>
    </w:rPr>
  </w:style>
  <w:style w:type="character" w:customStyle="1" w:styleId="12">
    <w:name w:val="font61"/>
    <w:basedOn w:val="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2768</Words>
  <Characters>2971</Characters>
  <Lines>0</Lines>
  <Paragraphs>0</Paragraphs>
  <TotalTime>49</TotalTime>
  <ScaleCrop>false</ScaleCrop>
  <LinksUpToDate>false</LinksUpToDate>
  <CharactersWithSpaces>2995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2025-06-23T09:12:00Z</dcterms:created>
  <dc:creator>高永娟</dc:creator>
  <cp:lastModifiedBy>很奇怪</cp:lastModifiedBy>
  <dcterms:modified xsi:type="dcterms:W3CDTF">2026-09-18T08:59:55Z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D3AAFFBC44FF4D828FD10FEBB475CC73_13</vt:lpwstr>
  </property>
  <property fmtid="{D5CDD505-2E9C-101B-9397-08002B2CF9AE}" pid="4" name="KSOTemplateDocerSaveRecord">
    <vt:lpwstr>eyJoZGlkIjoiYmM0NWUyMTQ3NGI5MzYwMjAwMzY1MmM3MzYzZjk1ZWUiLCJ1c2VySWQiOiI0MTQ0NjkxNjAifQ==</vt:lpwstr>
  </property>
</Properties>
</file>